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9D0D2" w14:textId="3477D92F" w:rsidR="008C6887" w:rsidRDefault="00245ED9">
      <w:pPr>
        <w:spacing w:after="0" w:line="259" w:lineRule="auto"/>
        <w:ind w:left="0" w:right="52" w:firstLine="0"/>
        <w:jc w:val="center"/>
        <w:rPr>
          <w:b/>
        </w:rPr>
      </w:pPr>
      <w:r>
        <w:rPr>
          <w:b/>
        </w:rPr>
        <w:t xml:space="preserve">RESUMEN EJECUTIVO </w:t>
      </w:r>
    </w:p>
    <w:p w14:paraId="4B3CCFCC" w14:textId="77777777" w:rsidR="002C09FD" w:rsidRDefault="002C09FD" w:rsidP="008B3A47">
      <w:pPr>
        <w:suppressAutoHyphens/>
        <w:autoSpaceDE w:val="0"/>
        <w:spacing w:after="0" w:line="240" w:lineRule="auto"/>
        <w:ind w:left="0" w:right="0" w:firstLine="0"/>
        <w:rPr>
          <w:rFonts w:ascii="Calibri" w:eastAsia="Calibri" w:hAnsi="Calibri" w:cs="Calibri"/>
          <w:sz w:val="22"/>
        </w:rPr>
      </w:pPr>
    </w:p>
    <w:p w14:paraId="0461A649" w14:textId="58C1D88A" w:rsidR="00574CA4" w:rsidRPr="00CD05A1" w:rsidRDefault="00574CA4" w:rsidP="00E725CC">
      <w:pPr>
        <w:suppressAutoHyphens/>
        <w:autoSpaceDE w:val="0"/>
        <w:spacing w:after="0" w:line="240" w:lineRule="auto"/>
        <w:ind w:left="0" w:right="0" w:firstLine="0"/>
        <w:rPr>
          <w:rFonts w:eastAsiaTheme="minorEastAsia"/>
          <w:color w:val="auto"/>
          <w:szCs w:val="24"/>
          <w:lang w:val="es-CR"/>
        </w:rPr>
      </w:pPr>
      <w:r w:rsidRPr="00CD05A1">
        <w:rPr>
          <w:rFonts w:eastAsiaTheme="minorEastAsia"/>
          <w:color w:val="auto"/>
          <w:szCs w:val="24"/>
          <w:lang w:val="es-CR"/>
        </w:rPr>
        <w:t xml:space="preserve">De acuerdo con el Plan de Trabajo 2019, se realizó la evaluación de Adquisición de hidrómetros a nivel institucional, cuyo objetivo fue evaluar el proceso de licitación de las últimas contrataciones de 2013LN 00010PRI- y 2016LN00002-PRI </w:t>
      </w:r>
    </w:p>
    <w:p w14:paraId="05BB6983" w14:textId="77777777" w:rsidR="00574CA4" w:rsidRPr="00CD05A1" w:rsidRDefault="00574CA4" w:rsidP="00E725CC">
      <w:pPr>
        <w:suppressAutoHyphens/>
        <w:autoSpaceDE w:val="0"/>
        <w:spacing w:after="0" w:line="240" w:lineRule="auto"/>
        <w:ind w:left="0" w:right="0" w:firstLine="0"/>
        <w:rPr>
          <w:rFonts w:eastAsiaTheme="minorEastAsia"/>
          <w:color w:val="auto"/>
          <w:szCs w:val="24"/>
          <w:lang w:val="es-CR"/>
        </w:rPr>
      </w:pPr>
    </w:p>
    <w:p w14:paraId="3134E08A" w14:textId="57746078" w:rsidR="00574CA4" w:rsidRPr="00CD05A1" w:rsidRDefault="00574CA4" w:rsidP="00E725CC">
      <w:pPr>
        <w:suppressAutoHyphens/>
        <w:autoSpaceDE w:val="0"/>
        <w:spacing w:after="0" w:line="240" w:lineRule="auto"/>
        <w:ind w:left="0" w:right="0" w:firstLine="0"/>
        <w:rPr>
          <w:rFonts w:eastAsiaTheme="minorEastAsia"/>
          <w:color w:val="auto"/>
          <w:szCs w:val="24"/>
          <w:lang w:val="es-CR"/>
        </w:rPr>
      </w:pPr>
      <w:r w:rsidRPr="00CD05A1">
        <w:rPr>
          <w:rFonts w:eastAsiaTheme="minorEastAsia"/>
          <w:color w:val="auto"/>
          <w:szCs w:val="24"/>
          <w:lang w:val="es-CR"/>
        </w:rPr>
        <w:t xml:space="preserve">Además, verificando el proceso de licitación de compras, proceso de micromedición que esté vinculado con los planes de operación y mantenimiento, desecho de hidrómetros con el que cuentan las diferentes regiones y su valor de rescate y el Proceso de Acreditación del Laboratorio de Flujo de Agua. </w:t>
      </w:r>
    </w:p>
    <w:p w14:paraId="26A5CF96" w14:textId="77777777" w:rsidR="00574CA4" w:rsidRPr="00CD05A1" w:rsidRDefault="00574CA4" w:rsidP="00E725CC">
      <w:pPr>
        <w:suppressAutoHyphens/>
        <w:autoSpaceDE w:val="0"/>
        <w:spacing w:after="0" w:line="240" w:lineRule="auto"/>
        <w:ind w:left="0" w:right="0" w:firstLine="0"/>
        <w:rPr>
          <w:rFonts w:eastAsiaTheme="minorEastAsia"/>
          <w:color w:val="auto"/>
          <w:szCs w:val="24"/>
          <w:lang w:val="es-CR"/>
        </w:rPr>
      </w:pPr>
    </w:p>
    <w:p w14:paraId="5496D371" w14:textId="6594F063" w:rsidR="00574CA4" w:rsidRPr="00CD05A1" w:rsidRDefault="00574CA4" w:rsidP="00E725CC">
      <w:pPr>
        <w:suppressAutoHyphens/>
        <w:autoSpaceDE w:val="0"/>
        <w:spacing w:after="0" w:line="240" w:lineRule="auto"/>
        <w:ind w:left="0" w:right="0" w:firstLine="0"/>
        <w:rPr>
          <w:rFonts w:eastAsiaTheme="minorEastAsia"/>
          <w:color w:val="auto"/>
          <w:szCs w:val="24"/>
          <w:lang w:val="es-CR"/>
        </w:rPr>
      </w:pPr>
      <w:r w:rsidRPr="00CD05A1">
        <w:rPr>
          <w:rFonts w:eastAsiaTheme="minorEastAsia"/>
          <w:color w:val="auto"/>
          <w:szCs w:val="24"/>
          <w:lang w:val="es-CR"/>
        </w:rPr>
        <w:t xml:space="preserve">El proceso de micromedición se constituye en un factor de vital importancia para el funcionamiento operativo del instituto, por cuanto incide directamente en la calidad de la facturación, fundamentado en un sistema de micromedición universal que permite la forma justa y equitativa de regular el cobro por el servicio de agua potable que la institución presta a sus clientes, aunado a la repercusión directa que tiene sobre los ingresos corrientes producto de la facturación. </w:t>
      </w:r>
    </w:p>
    <w:p w14:paraId="1DD6E0A2" w14:textId="77777777" w:rsidR="00574CA4" w:rsidRPr="00CD05A1" w:rsidRDefault="00574CA4" w:rsidP="00574CA4">
      <w:pPr>
        <w:autoSpaceDE w:val="0"/>
        <w:autoSpaceDN w:val="0"/>
        <w:adjustRightInd w:val="0"/>
        <w:spacing w:after="0" w:line="240" w:lineRule="auto"/>
        <w:ind w:left="0" w:right="0" w:firstLine="0"/>
        <w:jc w:val="left"/>
        <w:rPr>
          <w:rFonts w:eastAsiaTheme="minorEastAsia"/>
          <w:szCs w:val="24"/>
          <w:lang w:val="es-CR"/>
        </w:rPr>
      </w:pPr>
    </w:p>
    <w:p w14:paraId="393A7091" w14:textId="17E92F9F" w:rsidR="00574CA4" w:rsidRPr="00CD05A1" w:rsidRDefault="00574CA4" w:rsidP="00E725CC">
      <w:pPr>
        <w:suppressAutoHyphens/>
        <w:autoSpaceDE w:val="0"/>
        <w:spacing w:after="0" w:line="240" w:lineRule="auto"/>
        <w:ind w:left="0" w:right="0" w:firstLine="0"/>
        <w:rPr>
          <w:rFonts w:eastAsiaTheme="minorEastAsia"/>
          <w:color w:val="auto"/>
          <w:szCs w:val="24"/>
          <w:lang w:val="es-CR"/>
        </w:rPr>
      </w:pPr>
      <w:r w:rsidRPr="00CD05A1">
        <w:rPr>
          <w:rFonts w:eastAsiaTheme="minorEastAsia"/>
          <w:color w:val="auto"/>
          <w:szCs w:val="24"/>
          <w:lang w:val="es-CR"/>
        </w:rPr>
        <w:t xml:space="preserve">En los últimos dos años AyA ha experimentado el desabastecimiento de medidores de tipo domiciliar, situación que ha incidido negativamente en el proceso de universalización de la micromedición como política institucional. Aunado a lo anterior, el no contar con un sistema de compra de medidores bien estructurado que permita consolidar el proceso desde que se identifica la demanda, pasando por la confección del cartel, la adjudicación y por último las entregas de los medidores. Además, surge el inconveniente de no tener acreditado el Laboratorio Nacional de Hidrómetros ante el Ente Costarricense de Acreditación ECA, lo que ha generado incertidumbre especialmente en los procesos de compra de medidores y en el cumplimiento de las Normas Técnicas de Hidrómetros AR-HSA-2008 de la Autoridad Reguladora de Servicios Públicos (ARESEP). </w:t>
      </w:r>
    </w:p>
    <w:p w14:paraId="00696003" w14:textId="77777777" w:rsidR="00574CA4" w:rsidRPr="00CD05A1" w:rsidRDefault="00574CA4" w:rsidP="00E725CC">
      <w:pPr>
        <w:suppressAutoHyphens/>
        <w:autoSpaceDE w:val="0"/>
        <w:spacing w:after="0" w:line="240" w:lineRule="auto"/>
        <w:ind w:left="0" w:right="0" w:firstLine="0"/>
        <w:rPr>
          <w:rFonts w:eastAsiaTheme="minorEastAsia"/>
          <w:color w:val="auto"/>
          <w:szCs w:val="24"/>
          <w:lang w:val="es-CR"/>
        </w:rPr>
      </w:pPr>
    </w:p>
    <w:p w14:paraId="11FD2E57" w14:textId="20B6A331" w:rsidR="00574CA4" w:rsidRPr="00CD05A1" w:rsidRDefault="00574CA4" w:rsidP="00E725CC">
      <w:pPr>
        <w:suppressAutoHyphens/>
        <w:autoSpaceDE w:val="0"/>
        <w:spacing w:after="0" w:line="240" w:lineRule="auto"/>
        <w:ind w:left="0" w:right="0" w:firstLine="0"/>
        <w:rPr>
          <w:rFonts w:eastAsiaTheme="minorEastAsia"/>
          <w:color w:val="auto"/>
          <w:szCs w:val="24"/>
          <w:lang w:val="es-CR"/>
        </w:rPr>
      </w:pPr>
      <w:r w:rsidRPr="00CD05A1">
        <w:rPr>
          <w:rFonts w:eastAsiaTheme="minorEastAsia"/>
          <w:color w:val="auto"/>
          <w:szCs w:val="24"/>
          <w:lang w:val="es-CR"/>
        </w:rPr>
        <w:t xml:space="preserve">En ese contexto, se evaluó la contratación 2016LN-00002-PRI por la compra de 170000 mil medidores, la cual fue adjudicada a la empresa Global Plastics Solutions SLI (GPS). No obstante, dicha contratación ha generado una serie de disconformidades que han puesto en riesgo su ejecución. </w:t>
      </w:r>
    </w:p>
    <w:p w14:paraId="199F565C" w14:textId="77777777" w:rsidR="00696896" w:rsidRPr="00CD05A1" w:rsidRDefault="00696896" w:rsidP="00E725CC">
      <w:pPr>
        <w:suppressAutoHyphens/>
        <w:autoSpaceDE w:val="0"/>
        <w:spacing w:after="0" w:line="240" w:lineRule="auto"/>
        <w:ind w:left="0" w:right="0" w:firstLine="0"/>
        <w:rPr>
          <w:rFonts w:eastAsiaTheme="minorEastAsia"/>
          <w:color w:val="auto"/>
          <w:szCs w:val="24"/>
          <w:lang w:val="es-CR"/>
        </w:rPr>
      </w:pPr>
    </w:p>
    <w:p w14:paraId="38E773E8" w14:textId="62EB403F" w:rsidR="00574CA4" w:rsidRPr="00CD05A1" w:rsidRDefault="00574CA4" w:rsidP="00E725CC">
      <w:pPr>
        <w:suppressAutoHyphens/>
        <w:autoSpaceDE w:val="0"/>
        <w:spacing w:after="0" w:line="240" w:lineRule="auto"/>
        <w:ind w:left="0" w:right="0" w:firstLine="0"/>
        <w:rPr>
          <w:rFonts w:eastAsiaTheme="minorEastAsia"/>
          <w:color w:val="auto"/>
          <w:szCs w:val="24"/>
          <w:lang w:val="es-CR"/>
        </w:rPr>
      </w:pPr>
      <w:r w:rsidRPr="00CD05A1">
        <w:rPr>
          <w:rFonts w:eastAsiaTheme="minorEastAsia"/>
          <w:color w:val="auto"/>
          <w:szCs w:val="24"/>
          <w:lang w:val="es-CR"/>
        </w:rPr>
        <w:t xml:space="preserve">Por otra parte, se asume un crédito por ¢934.0 millones con Bancrédito, con la finalidad de comprar hidrómetros. Producto de errores en la programación de los desembolsos para el pago al proveedor de los medidores adquiridos, AyA tuvo que asumir temporalmente el pago con recursos propios. </w:t>
      </w:r>
    </w:p>
    <w:p w14:paraId="760CA46C" w14:textId="77777777" w:rsidR="00574CA4" w:rsidRPr="00CD05A1" w:rsidRDefault="00574CA4" w:rsidP="00E725CC">
      <w:pPr>
        <w:suppressAutoHyphens/>
        <w:autoSpaceDE w:val="0"/>
        <w:spacing w:after="0" w:line="240" w:lineRule="auto"/>
        <w:ind w:left="0" w:right="0" w:firstLine="0"/>
        <w:rPr>
          <w:rFonts w:eastAsiaTheme="minorEastAsia"/>
          <w:color w:val="auto"/>
          <w:szCs w:val="24"/>
          <w:lang w:val="es-CR"/>
        </w:rPr>
      </w:pPr>
    </w:p>
    <w:p w14:paraId="3F31553E" w14:textId="00230B10" w:rsidR="00574CA4" w:rsidRPr="00CD05A1" w:rsidRDefault="00574CA4" w:rsidP="00E725CC">
      <w:pPr>
        <w:suppressAutoHyphens/>
        <w:autoSpaceDE w:val="0"/>
        <w:spacing w:after="0" w:line="240" w:lineRule="auto"/>
        <w:ind w:left="0" w:right="0" w:firstLine="0"/>
        <w:rPr>
          <w:rFonts w:eastAsiaTheme="minorEastAsia"/>
          <w:color w:val="auto"/>
          <w:szCs w:val="24"/>
          <w:lang w:val="es-CR"/>
        </w:rPr>
      </w:pPr>
      <w:r w:rsidRPr="00CD05A1">
        <w:rPr>
          <w:rFonts w:eastAsiaTheme="minorEastAsia"/>
          <w:color w:val="auto"/>
          <w:szCs w:val="24"/>
          <w:lang w:val="es-CR"/>
        </w:rPr>
        <w:t xml:space="preserve">Un aspecto colateral que surge es el deficiente control que se ejerce sobre los saldos de la obligación adquirida con Bancrédito y posteriormente con Coopealianza R.L al asumir esta entidad financiera la titularidad del crédito. Asimismo, no se establece un calce entre el plazo de doce años de la deuda con los siete años de vida útil de los medidores adquiridos marca FAE, según la norma técnica “HIDRÓMETROS </w:t>
      </w:r>
      <w:r w:rsidRPr="00CD05A1">
        <w:rPr>
          <w:rFonts w:eastAsiaTheme="minorEastAsia"/>
          <w:color w:val="auto"/>
          <w:szCs w:val="24"/>
          <w:lang w:val="es-CR"/>
        </w:rPr>
        <w:lastRenderedPageBreak/>
        <w:t xml:space="preserve">PARA EL SERVICIO DE ACUEDUCTO. AR-HSA-2008”, pues en la mayoría de los casos fueron sustituidos antes de los dos años de instalados en el campo. </w:t>
      </w:r>
    </w:p>
    <w:p w14:paraId="5264CD41" w14:textId="77777777" w:rsidR="005134A8" w:rsidRPr="00574CA4" w:rsidRDefault="005134A8" w:rsidP="00E725CC">
      <w:pPr>
        <w:suppressAutoHyphens/>
        <w:autoSpaceDE w:val="0"/>
        <w:spacing w:after="0" w:line="240" w:lineRule="auto"/>
        <w:ind w:left="0" w:right="0" w:firstLine="0"/>
        <w:rPr>
          <w:rFonts w:eastAsiaTheme="minorEastAsia"/>
          <w:color w:val="auto"/>
          <w:sz w:val="23"/>
          <w:szCs w:val="23"/>
          <w:lang w:val="es-CR"/>
        </w:rPr>
      </w:pPr>
    </w:p>
    <w:p w14:paraId="629FF6E6" w14:textId="7715A3E6" w:rsidR="00574CA4" w:rsidRPr="00CD05A1" w:rsidRDefault="00574CA4" w:rsidP="00E725CC">
      <w:pPr>
        <w:suppressAutoHyphens/>
        <w:autoSpaceDE w:val="0"/>
        <w:spacing w:after="0" w:line="240" w:lineRule="auto"/>
        <w:ind w:left="0" w:right="0" w:firstLine="0"/>
        <w:rPr>
          <w:rFonts w:eastAsiaTheme="minorEastAsia"/>
          <w:color w:val="auto"/>
          <w:szCs w:val="24"/>
          <w:lang w:val="es-CR"/>
        </w:rPr>
      </w:pPr>
      <w:r w:rsidRPr="00CD05A1">
        <w:rPr>
          <w:rFonts w:eastAsiaTheme="minorEastAsia"/>
          <w:color w:val="auto"/>
          <w:szCs w:val="24"/>
          <w:lang w:val="es-CR"/>
        </w:rPr>
        <w:t xml:space="preserve">En este mismo orden de cosas, el parque de medidores de AyA a febrero de 2019 está conformado por 657.000, del análisis efectuado se determina que de estos el 41% requiere sustitución por tener siete o más años de instalados en el campo. También se observó que 37.174 medidores en un periodo de seis meses presentaban consumo en cero metros (0) y 25.523 registraban lecturas iguales y consumo cero metros (0). Esta situación fue puesta en conocimiento a la Junta Directiva mediante nota de advertencia AU-2019-151 de 04 de abril de 2019. </w:t>
      </w:r>
    </w:p>
    <w:p w14:paraId="699772C3" w14:textId="77777777" w:rsidR="00574CA4" w:rsidRPr="00CD05A1" w:rsidRDefault="00574CA4" w:rsidP="00E725CC">
      <w:pPr>
        <w:suppressAutoHyphens/>
        <w:autoSpaceDE w:val="0"/>
        <w:spacing w:after="0" w:line="240" w:lineRule="auto"/>
        <w:ind w:left="0" w:right="0" w:firstLine="0"/>
        <w:rPr>
          <w:rFonts w:eastAsiaTheme="minorEastAsia"/>
          <w:color w:val="auto"/>
          <w:szCs w:val="24"/>
          <w:lang w:val="es-CR"/>
        </w:rPr>
      </w:pPr>
    </w:p>
    <w:p w14:paraId="2DCFCB6B" w14:textId="721A7FF9" w:rsidR="00574CA4" w:rsidRPr="00CD05A1" w:rsidRDefault="00574CA4" w:rsidP="00E725CC">
      <w:pPr>
        <w:suppressAutoHyphens/>
        <w:autoSpaceDE w:val="0"/>
        <w:spacing w:after="0" w:line="240" w:lineRule="auto"/>
        <w:ind w:left="0" w:right="0" w:firstLine="0"/>
        <w:rPr>
          <w:rFonts w:eastAsiaTheme="minorEastAsia"/>
          <w:color w:val="auto"/>
          <w:szCs w:val="24"/>
          <w:lang w:val="es-CR"/>
        </w:rPr>
      </w:pPr>
      <w:r w:rsidRPr="00CD05A1">
        <w:rPr>
          <w:rFonts w:eastAsiaTheme="minorEastAsia"/>
          <w:color w:val="auto"/>
          <w:szCs w:val="24"/>
          <w:lang w:val="es-CR"/>
        </w:rPr>
        <w:t xml:space="preserve">A lo anterior hay que aunarle, desde el punto de Auditoría Interna, la desacertada decisión de eliminar la actividad de reparación de hidrómetros, debilitándose el proceso de micromedición universal y el mantenimiento preventivo y correctivo del parque de medidores de AyA. Además, de no contar con un procedimiento adecuado que permita identificar las causas de las sustituciones de los medidores y su posterior clasificación, de tal forma que ayude a la toma de decisiones en cuanto a si es factible su reparación o su desecho definitivo. </w:t>
      </w:r>
    </w:p>
    <w:p w14:paraId="7DAC6B30" w14:textId="77777777" w:rsidR="00574CA4" w:rsidRPr="00CD05A1" w:rsidRDefault="00574CA4" w:rsidP="00E725CC">
      <w:pPr>
        <w:suppressAutoHyphens/>
        <w:autoSpaceDE w:val="0"/>
        <w:spacing w:after="0" w:line="240" w:lineRule="auto"/>
        <w:ind w:left="0" w:right="0" w:firstLine="0"/>
        <w:rPr>
          <w:rFonts w:eastAsiaTheme="minorEastAsia"/>
          <w:color w:val="auto"/>
          <w:szCs w:val="24"/>
          <w:lang w:val="es-CR"/>
        </w:rPr>
      </w:pPr>
    </w:p>
    <w:p w14:paraId="17BB9700" w14:textId="5A991AD4" w:rsidR="00574CA4" w:rsidRPr="00CD05A1" w:rsidRDefault="00574CA4" w:rsidP="00E725CC">
      <w:pPr>
        <w:suppressAutoHyphens/>
        <w:autoSpaceDE w:val="0"/>
        <w:spacing w:after="0" w:line="240" w:lineRule="auto"/>
        <w:ind w:left="0" w:right="0" w:firstLine="0"/>
        <w:rPr>
          <w:rFonts w:eastAsiaTheme="minorEastAsia"/>
          <w:color w:val="auto"/>
          <w:szCs w:val="24"/>
          <w:lang w:val="es-CR"/>
        </w:rPr>
      </w:pPr>
      <w:r w:rsidRPr="00CD05A1">
        <w:rPr>
          <w:rFonts w:eastAsiaTheme="minorEastAsia"/>
          <w:color w:val="auto"/>
          <w:szCs w:val="24"/>
          <w:lang w:val="es-CR"/>
        </w:rPr>
        <w:t xml:space="preserve">Se insta la Administración Superior, establecer e implementar las recomendaciones emitidas en este informe, de tal manera que se pueda dotar a las Subgerencias GAM y Periféricos, de la cantidad de hidrómetros contando con el suficiente inventario necesarios para satisfacer sus demandas y dar cumplimiento a la norma que rige la materia. </w:t>
      </w:r>
    </w:p>
    <w:p w14:paraId="3EA723BD" w14:textId="77777777" w:rsidR="00574CA4" w:rsidRPr="00CD05A1" w:rsidRDefault="00574CA4" w:rsidP="00574CA4">
      <w:pPr>
        <w:autoSpaceDE w:val="0"/>
        <w:autoSpaceDN w:val="0"/>
        <w:adjustRightInd w:val="0"/>
        <w:spacing w:after="0" w:line="240" w:lineRule="auto"/>
        <w:ind w:left="0" w:right="0" w:firstLine="0"/>
        <w:jc w:val="left"/>
        <w:rPr>
          <w:rFonts w:eastAsiaTheme="minorEastAsia"/>
          <w:color w:val="auto"/>
          <w:szCs w:val="24"/>
          <w:lang w:val="es-CR"/>
        </w:rPr>
      </w:pPr>
    </w:p>
    <w:p w14:paraId="54E647DA" w14:textId="129C8749" w:rsidR="002C09FD" w:rsidRPr="00CD05A1" w:rsidRDefault="00574CA4" w:rsidP="00574CA4">
      <w:pPr>
        <w:suppressAutoHyphens/>
        <w:autoSpaceDE w:val="0"/>
        <w:spacing w:after="0" w:line="240" w:lineRule="auto"/>
        <w:ind w:left="0" w:right="0" w:firstLine="0"/>
        <w:rPr>
          <w:rFonts w:ascii="Calibri" w:eastAsia="Calibri" w:hAnsi="Calibri" w:cs="Calibri"/>
          <w:szCs w:val="24"/>
        </w:rPr>
      </w:pPr>
      <w:r w:rsidRPr="00CD05A1">
        <w:rPr>
          <w:rFonts w:eastAsiaTheme="minorEastAsia"/>
          <w:color w:val="auto"/>
          <w:szCs w:val="24"/>
          <w:lang w:val="es-CR"/>
        </w:rPr>
        <w:t>En virtud de lo anterior, se emiten las recomendaciones anteriores, como oportunidades de mejora tendentes a fortalecer el proceso de micromedición y convertir el mismo en un efectivo instrumento de medición de la eficacia, la eficiencia y la economía del funcionamiento institucional, así como el Sistema de Control Interno, además, de fortalecer la gestión de contratación en la adquisición de hidrómetros, con el fin de mejorar los resultados que se señalan en el presente informe.</w:t>
      </w:r>
    </w:p>
    <w:p w14:paraId="617FB014" w14:textId="77777777" w:rsidR="002C09FD" w:rsidRDefault="002C09FD" w:rsidP="008B3A47">
      <w:pPr>
        <w:suppressAutoHyphens/>
        <w:autoSpaceDE w:val="0"/>
        <w:spacing w:after="0" w:line="240" w:lineRule="auto"/>
        <w:ind w:left="0" w:right="0" w:firstLine="0"/>
        <w:rPr>
          <w:rFonts w:ascii="Calibri" w:eastAsia="Calibri" w:hAnsi="Calibri" w:cs="Calibri"/>
          <w:sz w:val="22"/>
        </w:rPr>
      </w:pPr>
    </w:p>
    <w:p w14:paraId="055FAC94" w14:textId="77777777" w:rsidR="002C09FD" w:rsidRDefault="002C09FD" w:rsidP="008B3A47">
      <w:pPr>
        <w:suppressAutoHyphens/>
        <w:autoSpaceDE w:val="0"/>
        <w:spacing w:after="0" w:line="240" w:lineRule="auto"/>
        <w:ind w:left="0" w:right="0" w:firstLine="0"/>
        <w:rPr>
          <w:rFonts w:ascii="Calibri" w:eastAsia="Calibri" w:hAnsi="Calibri" w:cs="Calibri"/>
          <w:sz w:val="22"/>
        </w:rPr>
      </w:pPr>
    </w:p>
    <w:p w14:paraId="5410C75E" w14:textId="77777777" w:rsidR="002C09FD" w:rsidRDefault="002C09FD" w:rsidP="008B3A47">
      <w:pPr>
        <w:suppressAutoHyphens/>
        <w:autoSpaceDE w:val="0"/>
        <w:spacing w:after="0" w:line="240" w:lineRule="auto"/>
        <w:ind w:left="0" w:right="0" w:firstLine="0"/>
        <w:rPr>
          <w:rFonts w:ascii="Calibri" w:eastAsia="Calibri" w:hAnsi="Calibri" w:cs="Calibri"/>
          <w:sz w:val="22"/>
        </w:rPr>
      </w:pPr>
    </w:p>
    <w:p w14:paraId="55BEE2EE" w14:textId="77777777" w:rsidR="002C09FD" w:rsidRPr="005210CA" w:rsidRDefault="002C09FD" w:rsidP="008B3A47">
      <w:pPr>
        <w:suppressAutoHyphens/>
        <w:autoSpaceDE w:val="0"/>
        <w:spacing w:after="0" w:line="240" w:lineRule="auto"/>
        <w:ind w:left="0" w:right="0" w:firstLine="0"/>
        <w:rPr>
          <w:rFonts w:eastAsia="Calibri"/>
          <w:sz w:val="22"/>
        </w:rPr>
      </w:pPr>
    </w:p>
    <w:p w14:paraId="0C09ED28" w14:textId="77777777" w:rsidR="002C09FD" w:rsidRPr="008B0F64" w:rsidRDefault="002C09FD" w:rsidP="008B3A47">
      <w:pPr>
        <w:suppressAutoHyphens/>
        <w:autoSpaceDE w:val="0"/>
        <w:spacing w:after="0" w:line="240" w:lineRule="auto"/>
        <w:ind w:left="0" w:right="0" w:firstLine="0"/>
        <w:rPr>
          <w:rFonts w:eastAsia="Calibri"/>
          <w:sz w:val="20"/>
          <w:szCs w:val="20"/>
        </w:rPr>
      </w:pPr>
    </w:p>
    <w:p w14:paraId="4BAE5370" w14:textId="171497A2" w:rsidR="008B3A47" w:rsidRPr="008B0F64" w:rsidRDefault="0077422D" w:rsidP="008B3A47">
      <w:pPr>
        <w:suppressAutoHyphens/>
        <w:autoSpaceDE w:val="0"/>
        <w:spacing w:after="0" w:line="240" w:lineRule="auto"/>
        <w:ind w:left="0" w:right="0" w:firstLine="0"/>
        <w:rPr>
          <w:rFonts w:eastAsia="Calibri"/>
          <w:sz w:val="20"/>
          <w:szCs w:val="20"/>
        </w:rPr>
      </w:pPr>
      <w:r w:rsidRPr="008B0F64">
        <w:rPr>
          <w:rFonts w:eastAsia="Calibri"/>
          <w:sz w:val="20"/>
          <w:szCs w:val="20"/>
        </w:rPr>
        <w:t xml:space="preserve">Preparado por:   </w:t>
      </w:r>
      <w:r w:rsidRPr="008B0F64">
        <w:rPr>
          <w:rFonts w:eastAsia="Calibri"/>
          <w:sz w:val="20"/>
          <w:szCs w:val="20"/>
        </w:rPr>
        <w:tab/>
      </w:r>
      <w:r w:rsidRPr="008B0F64">
        <w:rPr>
          <w:rFonts w:eastAsia="Calibri"/>
          <w:sz w:val="20"/>
          <w:szCs w:val="20"/>
        </w:rPr>
        <w:tab/>
      </w:r>
      <w:r w:rsidRPr="008B0F64">
        <w:rPr>
          <w:rFonts w:eastAsia="Calibri"/>
          <w:sz w:val="20"/>
          <w:szCs w:val="20"/>
        </w:rPr>
        <w:tab/>
      </w:r>
      <w:r w:rsidRPr="008B0F64">
        <w:rPr>
          <w:rFonts w:eastAsia="Calibri"/>
          <w:sz w:val="20"/>
          <w:szCs w:val="20"/>
        </w:rPr>
        <w:tab/>
      </w:r>
      <w:r w:rsidRPr="008B0F64">
        <w:rPr>
          <w:rFonts w:eastAsia="Calibri"/>
          <w:sz w:val="20"/>
          <w:szCs w:val="20"/>
        </w:rPr>
        <w:tab/>
      </w:r>
      <w:r w:rsidRPr="008B0F64">
        <w:rPr>
          <w:rFonts w:eastAsia="Calibri"/>
          <w:sz w:val="20"/>
          <w:szCs w:val="20"/>
        </w:rPr>
        <w:tab/>
        <w:t xml:space="preserve">Aprobado por:   </w:t>
      </w:r>
      <w:r w:rsidR="008B3A47" w:rsidRPr="008B0F64">
        <w:rPr>
          <w:rFonts w:eastAsia="Calibri"/>
          <w:sz w:val="20"/>
          <w:szCs w:val="20"/>
        </w:rPr>
        <w:tab/>
      </w:r>
      <w:r w:rsidR="008B3A47" w:rsidRPr="008B0F64">
        <w:rPr>
          <w:rFonts w:eastAsia="Calibri"/>
          <w:sz w:val="20"/>
          <w:szCs w:val="20"/>
        </w:rPr>
        <w:tab/>
      </w:r>
    </w:p>
    <w:p w14:paraId="0C120E53" w14:textId="77777777" w:rsidR="000D2120" w:rsidRPr="008B0F64" w:rsidRDefault="000D2120" w:rsidP="000D2120">
      <w:pPr>
        <w:pStyle w:val="Default"/>
        <w:rPr>
          <w:sz w:val="20"/>
          <w:szCs w:val="20"/>
        </w:rPr>
      </w:pPr>
    </w:p>
    <w:p w14:paraId="2D2A2E8F" w14:textId="28814D0F" w:rsidR="00D4162E" w:rsidRPr="008B0F64" w:rsidRDefault="002D395D" w:rsidP="00D4162E">
      <w:pPr>
        <w:spacing w:after="0" w:line="240" w:lineRule="auto"/>
        <w:ind w:right="283"/>
        <w:jc w:val="left"/>
        <w:rPr>
          <w:rFonts w:eastAsia="Calibri"/>
          <w:sz w:val="20"/>
          <w:szCs w:val="20"/>
          <w:lang w:val="es-CR"/>
        </w:rPr>
      </w:pPr>
      <w:r w:rsidRPr="008B0F64">
        <w:rPr>
          <w:rFonts w:eastAsia="Calibri"/>
          <w:sz w:val="20"/>
          <w:szCs w:val="20"/>
          <w:lang w:val="es-CR"/>
        </w:rPr>
        <w:tab/>
      </w:r>
      <w:r w:rsidR="00D4162E" w:rsidRPr="008B0F64">
        <w:rPr>
          <w:rFonts w:eastAsia="Calibri"/>
          <w:sz w:val="20"/>
          <w:szCs w:val="20"/>
          <w:lang w:val="es-CR"/>
        </w:rPr>
        <w:t xml:space="preserve">Lic. </w:t>
      </w:r>
      <w:r w:rsidR="00C34B6C" w:rsidRPr="008B0F64">
        <w:rPr>
          <w:rFonts w:eastAsia="Calibri"/>
          <w:sz w:val="20"/>
          <w:szCs w:val="20"/>
          <w:lang w:val="es-CR"/>
        </w:rPr>
        <w:t>Eugenia Obando Obando</w:t>
      </w:r>
      <w:r w:rsidR="00D4162E" w:rsidRPr="008B0F64">
        <w:rPr>
          <w:rFonts w:eastAsia="Calibri"/>
          <w:sz w:val="20"/>
          <w:szCs w:val="20"/>
          <w:lang w:val="es-CR"/>
        </w:rPr>
        <w:tab/>
      </w:r>
      <w:r w:rsidR="00D4162E" w:rsidRPr="008B0F64">
        <w:rPr>
          <w:rFonts w:eastAsia="Calibri"/>
          <w:sz w:val="20"/>
          <w:szCs w:val="20"/>
          <w:lang w:val="es-CR"/>
        </w:rPr>
        <w:tab/>
      </w:r>
      <w:r w:rsidR="00D4162E" w:rsidRPr="008B0F64">
        <w:rPr>
          <w:rFonts w:eastAsia="Calibri"/>
          <w:sz w:val="20"/>
          <w:szCs w:val="20"/>
          <w:lang w:val="es-CR"/>
        </w:rPr>
        <w:tab/>
      </w:r>
      <w:r w:rsidR="00D4162E" w:rsidRPr="008B0F64">
        <w:rPr>
          <w:rFonts w:eastAsia="Calibri"/>
          <w:sz w:val="20"/>
          <w:szCs w:val="20"/>
          <w:lang w:val="es-CR"/>
        </w:rPr>
        <w:tab/>
      </w:r>
      <w:r w:rsidR="00D4162E" w:rsidRPr="008B0F64">
        <w:rPr>
          <w:rFonts w:eastAsia="Calibri"/>
          <w:sz w:val="20"/>
          <w:szCs w:val="20"/>
          <w:lang w:val="es-CR"/>
        </w:rPr>
        <w:tab/>
        <w:t>MBA. Alfonso Segura Hidalgo</w:t>
      </w:r>
    </w:p>
    <w:p w14:paraId="659F3CD5" w14:textId="2E15BCBE" w:rsidR="00D4162E" w:rsidRPr="008B0F64" w:rsidRDefault="00D4162E" w:rsidP="00D4162E">
      <w:pPr>
        <w:spacing w:after="0" w:line="240" w:lineRule="auto"/>
        <w:ind w:right="283"/>
        <w:jc w:val="left"/>
        <w:rPr>
          <w:rFonts w:eastAsia="Calibri"/>
          <w:sz w:val="20"/>
          <w:szCs w:val="20"/>
          <w:lang w:val="es-CR"/>
        </w:rPr>
      </w:pPr>
      <w:r w:rsidRPr="008B0F64">
        <w:rPr>
          <w:rFonts w:eastAsia="Calibri"/>
          <w:sz w:val="20"/>
          <w:szCs w:val="20"/>
          <w:lang w:val="es-CR"/>
        </w:rPr>
        <w:t xml:space="preserve">Lic. </w:t>
      </w:r>
      <w:r w:rsidR="00C34B6C" w:rsidRPr="008B0F64">
        <w:rPr>
          <w:rFonts w:eastAsia="Calibri"/>
          <w:sz w:val="20"/>
          <w:szCs w:val="20"/>
          <w:lang w:val="es-CR"/>
        </w:rPr>
        <w:t xml:space="preserve">José Luis Camacho Salgado </w:t>
      </w:r>
    </w:p>
    <w:p w14:paraId="6863C69F" w14:textId="33E13E7C" w:rsidR="00C36527" w:rsidRPr="008B0F64" w:rsidRDefault="00C34B6C" w:rsidP="00C36527">
      <w:pPr>
        <w:spacing w:after="0" w:line="240" w:lineRule="auto"/>
        <w:ind w:right="283"/>
        <w:jc w:val="left"/>
        <w:rPr>
          <w:rFonts w:eastAsia="Calibri"/>
          <w:sz w:val="20"/>
          <w:szCs w:val="20"/>
          <w:lang w:val="es-CR"/>
        </w:rPr>
      </w:pPr>
      <w:r w:rsidRPr="008B0F64">
        <w:rPr>
          <w:rFonts w:eastAsia="Calibri"/>
          <w:sz w:val="20"/>
          <w:szCs w:val="20"/>
          <w:lang w:val="es-CR"/>
        </w:rPr>
        <w:t xml:space="preserve">Lic. Ronald Bejarano Arguedas                                  </w:t>
      </w:r>
    </w:p>
    <w:p w14:paraId="4B3D072E" w14:textId="7A61AB22" w:rsidR="000D0B36" w:rsidRPr="008B0F64" w:rsidRDefault="005C73DC" w:rsidP="002D395D">
      <w:pPr>
        <w:spacing w:after="0" w:line="240" w:lineRule="auto"/>
        <w:ind w:right="283"/>
        <w:jc w:val="left"/>
        <w:rPr>
          <w:rFonts w:eastAsia="Calibri"/>
          <w:sz w:val="20"/>
          <w:szCs w:val="20"/>
          <w:lang w:val="es-CR"/>
        </w:rPr>
      </w:pPr>
      <w:r w:rsidRPr="008B0F64">
        <w:rPr>
          <w:rFonts w:eastAsia="Calibri"/>
          <w:sz w:val="20"/>
          <w:szCs w:val="20"/>
          <w:lang w:val="es-CR"/>
        </w:rPr>
        <w:tab/>
      </w:r>
      <w:r w:rsidR="000D0B36" w:rsidRPr="008B0F64">
        <w:rPr>
          <w:rFonts w:eastAsia="Calibri"/>
          <w:sz w:val="20"/>
          <w:szCs w:val="20"/>
        </w:rPr>
        <w:tab/>
      </w:r>
      <w:r w:rsidR="000D0B36" w:rsidRPr="008B0F64">
        <w:rPr>
          <w:rFonts w:eastAsia="Calibri"/>
          <w:sz w:val="20"/>
          <w:szCs w:val="20"/>
        </w:rPr>
        <w:tab/>
      </w:r>
      <w:r w:rsidR="000D0B36" w:rsidRPr="008B0F64">
        <w:rPr>
          <w:rFonts w:eastAsia="Calibri"/>
          <w:sz w:val="20"/>
          <w:szCs w:val="20"/>
        </w:rPr>
        <w:tab/>
      </w:r>
    </w:p>
    <w:p w14:paraId="3FAB4617" w14:textId="3042B31A" w:rsidR="00E57E85" w:rsidRPr="008B0F64" w:rsidRDefault="00E57E85" w:rsidP="00574CA4">
      <w:pPr>
        <w:spacing w:after="0" w:line="240" w:lineRule="auto"/>
        <w:ind w:right="283"/>
        <w:jc w:val="left"/>
        <w:rPr>
          <w:rFonts w:eastAsia="Calibri"/>
          <w:sz w:val="20"/>
          <w:szCs w:val="20"/>
          <w:lang w:val="es-CR"/>
        </w:rPr>
      </w:pPr>
    </w:p>
    <w:p w14:paraId="16204D9F" w14:textId="5F8A6283" w:rsidR="0077422D" w:rsidRPr="008B0F64" w:rsidRDefault="0077422D" w:rsidP="00257076">
      <w:pPr>
        <w:spacing w:after="0" w:line="240" w:lineRule="auto"/>
        <w:ind w:right="283"/>
        <w:jc w:val="left"/>
        <w:rPr>
          <w:sz w:val="20"/>
          <w:szCs w:val="20"/>
        </w:rPr>
      </w:pPr>
      <w:r w:rsidRPr="008B0F64">
        <w:rPr>
          <w:rFonts w:eastAsia="Calibri"/>
          <w:sz w:val="20"/>
          <w:szCs w:val="20"/>
        </w:rPr>
        <w:tab/>
        <w:t xml:space="preserve">Fecha: </w:t>
      </w:r>
      <w:r w:rsidRPr="008B0F64">
        <w:rPr>
          <w:rFonts w:eastAsia="Calibri"/>
          <w:sz w:val="20"/>
          <w:szCs w:val="20"/>
        </w:rPr>
        <w:tab/>
      </w:r>
      <w:r w:rsidRPr="008B0F64">
        <w:rPr>
          <w:rFonts w:eastAsia="Calibri"/>
          <w:sz w:val="20"/>
          <w:szCs w:val="20"/>
        </w:rPr>
        <w:tab/>
      </w:r>
      <w:r w:rsidRPr="008B0F64">
        <w:rPr>
          <w:rFonts w:eastAsia="Calibri"/>
          <w:sz w:val="20"/>
          <w:szCs w:val="20"/>
        </w:rPr>
        <w:tab/>
      </w:r>
      <w:r w:rsidRPr="008B0F64">
        <w:rPr>
          <w:rFonts w:eastAsia="Calibri"/>
          <w:sz w:val="20"/>
          <w:szCs w:val="20"/>
        </w:rPr>
        <w:tab/>
      </w:r>
      <w:r w:rsidRPr="008B0F64">
        <w:rPr>
          <w:rFonts w:eastAsia="Calibri"/>
          <w:sz w:val="20"/>
          <w:szCs w:val="20"/>
        </w:rPr>
        <w:tab/>
      </w:r>
      <w:r w:rsidRPr="008B0F64">
        <w:rPr>
          <w:rFonts w:eastAsia="Calibri"/>
          <w:sz w:val="20"/>
          <w:szCs w:val="20"/>
        </w:rPr>
        <w:tab/>
      </w:r>
      <w:r w:rsidRPr="008B0F64">
        <w:rPr>
          <w:rFonts w:eastAsia="Calibri"/>
          <w:sz w:val="20"/>
          <w:szCs w:val="20"/>
        </w:rPr>
        <w:tab/>
      </w:r>
      <w:r w:rsidRPr="008B0F64">
        <w:rPr>
          <w:rFonts w:eastAsia="Calibri"/>
          <w:sz w:val="20"/>
          <w:szCs w:val="20"/>
        </w:rPr>
        <w:tab/>
        <w:t xml:space="preserve">Hora: </w:t>
      </w:r>
    </w:p>
    <w:p w14:paraId="5C2D7C19" w14:textId="5B9F2D29" w:rsidR="0077422D" w:rsidRPr="008B0F64" w:rsidRDefault="00BA76C3">
      <w:pPr>
        <w:spacing w:after="0" w:line="240" w:lineRule="auto"/>
        <w:ind w:right="0"/>
        <w:jc w:val="left"/>
        <w:rPr>
          <w:color w:val="auto"/>
          <w:sz w:val="20"/>
          <w:szCs w:val="20"/>
        </w:rPr>
      </w:pPr>
      <w:r w:rsidRPr="008B0F64">
        <w:rPr>
          <w:rFonts w:eastAsia="Calibri"/>
          <w:color w:val="auto"/>
          <w:sz w:val="20"/>
          <w:szCs w:val="20"/>
        </w:rPr>
        <w:t>12</w:t>
      </w:r>
      <w:r w:rsidR="0077422D" w:rsidRPr="008B0F64">
        <w:rPr>
          <w:rFonts w:eastAsia="Calibri"/>
          <w:color w:val="auto"/>
          <w:sz w:val="20"/>
          <w:szCs w:val="20"/>
        </w:rPr>
        <w:t>-</w:t>
      </w:r>
      <w:r w:rsidR="00CE3114" w:rsidRPr="008B0F64">
        <w:rPr>
          <w:rFonts w:eastAsia="Calibri"/>
          <w:color w:val="auto"/>
          <w:sz w:val="20"/>
          <w:szCs w:val="20"/>
        </w:rPr>
        <w:t>1</w:t>
      </w:r>
      <w:r w:rsidRPr="008B0F64">
        <w:rPr>
          <w:rFonts w:eastAsia="Calibri"/>
          <w:color w:val="auto"/>
          <w:sz w:val="20"/>
          <w:szCs w:val="20"/>
        </w:rPr>
        <w:t>1</w:t>
      </w:r>
      <w:r w:rsidR="0077422D" w:rsidRPr="008B0F64">
        <w:rPr>
          <w:rFonts w:eastAsia="Calibri"/>
          <w:color w:val="auto"/>
          <w:sz w:val="20"/>
          <w:szCs w:val="20"/>
        </w:rPr>
        <w:t>-201</w:t>
      </w:r>
      <w:r w:rsidR="00257076" w:rsidRPr="008B0F64">
        <w:rPr>
          <w:rFonts w:eastAsia="Calibri"/>
          <w:color w:val="auto"/>
          <w:sz w:val="20"/>
          <w:szCs w:val="20"/>
        </w:rPr>
        <w:t>9</w:t>
      </w:r>
      <w:r w:rsidR="0077422D" w:rsidRPr="008B0F64">
        <w:rPr>
          <w:rFonts w:eastAsia="Calibri"/>
          <w:color w:val="auto"/>
          <w:sz w:val="20"/>
          <w:szCs w:val="20"/>
        </w:rPr>
        <w:t xml:space="preserve"> </w:t>
      </w:r>
      <w:r w:rsidR="0077422D" w:rsidRPr="008B0F64">
        <w:rPr>
          <w:rFonts w:eastAsia="Calibri"/>
          <w:color w:val="auto"/>
          <w:sz w:val="20"/>
          <w:szCs w:val="20"/>
        </w:rPr>
        <w:tab/>
      </w:r>
      <w:r w:rsidR="0077422D" w:rsidRPr="008B0F64">
        <w:rPr>
          <w:rFonts w:eastAsia="Calibri"/>
          <w:color w:val="auto"/>
          <w:sz w:val="20"/>
          <w:szCs w:val="20"/>
        </w:rPr>
        <w:tab/>
      </w:r>
      <w:r w:rsidR="0077422D" w:rsidRPr="008B0F64">
        <w:rPr>
          <w:rFonts w:eastAsia="Calibri"/>
          <w:color w:val="auto"/>
          <w:sz w:val="20"/>
          <w:szCs w:val="20"/>
        </w:rPr>
        <w:tab/>
      </w:r>
      <w:r w:rsidR="0077422D" w:rsidRPr="008B0F64">
        <w:rPr>
          <w:rFonts w:eastAsia="Calibri"/>
          <w:color w:val="auto"/>
          <w:sz w:val="20"/>
          <w:szCs w:val="20"/>
        </w:rPr>
        <w:tab/>
      </w:r>
      <w:r w:rsidR="0077422D" w:rsidRPr="008B0F64">
        <w:rPr>
          <w:rFonts w:eastAsia="Calibri"/>
          <w:color w:val="auto"/>
          <w:sz w:val="20"/>
          <w:szCs w:val="20"/>
        </w:rPr>
        <w:tab/>
      </w:r>
      <w:r w:rsidR="0077422D" w:rsidRPr="008B0F64">
        <w:rPr>
          <w:rFonts w:eastAsia="Calibri"/>
          <w:color w:val="auto"/>
          <w:sz w:val="20"/>
          <w:szCs w:val="20"/>
        </w:rPr>
        <w:tab/>
      </w:r>
      <w:r w:rsidR="0077422D" w:rsidRPr="008B0F64">
        <w:rPr>
          <w:rFonts w:eastAsia="Calibri"/>
          <w:color w:val="auto"/>
          <w:sz w:val="20"/>
          <w:szCs w:val="20"/>
        </w:rPr>
        <w:tab/>
      </w:r>
      <w:r w:rsidR="002D395D" w:rsidRPr="008B0F64">
        <w:rPr>
          <w:rFonts w:eastAsia="Calibri"/>
          <w:color w:val="auto"/>
          <w:sz w:val="20"/>
          <w:szCs w:val="20"/>
        </w:rPr>
        <w:t>1</w:t>
      </w:r>
      <w:r w:rsidR="00185835">
        <w:rPr>
          <w:rFonts w:eastAsia="Calibri"/>
          <w:color w:val="auto"/>
          <w:sz w:val="20"/>
          <w:szCs w:val="20"/>
        </w:rPr>
        <w:t>6</w:t>
      </w:r>
      <w:r w:rsidR="00F717CE" w:rsidRPr="008B0F64">
        <w:rPr>
          <w:rFonts w:eastAsia="Calibri"/>
          <w:color w:val="auto"/>
          <w:sz w:val="20"/>
          <w:szCs w:val="20"/>
        </w:rPr>
        <w:t>:</w:t>
      </w:r>
      <w:r w:rsidR="00185835">
        <w:rPr>
          <w:rFonts w:eastAsia="Calibri"/>
          <w:color w:val="auto"/>
          <w:sz w:val="20"/>
          <w:szCs w:val="20"/>
        </w:rPr>
        <w:t>45:</w:t>
      </w:r>
      <w:r w:rsidR="00881CB6">
        <w:rPr>
          <w:rFonts w:eastAsia="Calibri"/>
          <w:color w:val="auto"/>
          <w:sz w:val="20"/>
          <w:szCs w:val="20"/>
        </w:rPr>
        <w:t>25</w:t>
      </w:r>
      <w:bookmarkStart w:id="0" w:name="_GoBack"/>
      <w:bookmarkEnd w:id="0"/>
      <w:r w:rsidR="0077422D" w:rsidRPr="008B0F64">
        <w:rPr>
          <w:rFonts w:eastAsia="Calibri"/>
          <w:color w:val="auto"/>
          <w:sz w:val="20"/>
          <w:szCs w:val="20"/>
        </w:rPr>
        <w:t xml:space="preserve"> </w:t>
      </w:r>
      <w:r w:rsidRPr="008B0F64">
        <w:rPr>
          <w:rFonts w:eastAsia="Calibri"/>
          <w:color w:val="auto"/>
          <w:sz w:val="20"/>
          <w:szCs w:val="20"/>
        </w:rPr>
        <w:t>p</w:t>
      </w:r>
      <w:r w:rsidR="0077422D" w:rsidRPr="008B0F64">
        <w:rPr>
          <w:rFonts w:eastAsia="Calibri"/>
          <w:color w:val="auto"/>
          <w:sz w:val="20"/>
          <w:szCs w:val="20"/>
        </w:rPr>
        <w:t xml:space="preserve">m </w:t>
      </w:r>
    </w:p>
    <w:sectPr w:rsidR="0077422D" w:rsidRPr="008B0F64" w:rsidSect="002D395D">
      <w:headerReference w:type="default" r:id="rId10"/>
      <w:footerReference w:type="default" r:id="rId11"/>
      <w:type w:val="continuous"/>
      <w:pgSz w:w="11906" w:h="16838"/>
      <w:pgMar w:top="1440" w:right="1274" w:bottom="1134" w:left="1702" w:header="851" w:footer="350" w:gutter="0"/>
      <w:cols w:space="19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581B5" w14:textId="77777777" w:rsidR="00FE47B4" w:rsidRDefault="00FE47B4" w:rsidP="00C463E9">
      <w:pPr>
        <w:spacing w:after="0" w:line="240" w:lineRule="auto"/>
      </w:pPr>
      <w:r>
        <w:separator/>
      </w:r>
    </w:p>
  </w:endnote>
  <w:endnote w:type="continuationSeparator" w:id="0">
    <w:p w14:paraId="33A1D8A6" w14:textId="77777777" w:rsidR="00FE47B4" w:rsidRDefault="00FE47B4" w:rsidP="00C4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501">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FEA37" w14:textId="77777777" w:rsidR="002D395D" w:rsidRDefault="002D395D">
    <w:pPr>
      <w:pStyle w:val="Piedepgina"/>
      <w:jc w:val="right"/>
      <w:rPr>
        <w:sz w:val="20"/>
        <w:szCs w:val="20"/>
      </w:rPr>
    </w:pPr>
  </w:p>
  <w:p w14:paraId="032516EF" w14:textId="3E9B1FCE" w:rsidR="00C463E9" w:rsidRPr="00C463E9" w:rsidRDefault="00C463E9">
    <w:pPr>
      <w:pStyle w:val="Piedepgina"/>
      <w:jc w:val="right"/>
      <w:rPr>
        <w:sz w:val="20"/>
        <w:szCs w:val="20"/>
      </w:rPr>
    </w:pPr>
    <w:r w:rsidRPr="00C463E9">
      <w:rPr>
        <w:sz w:val="20"/>
        <w:szCs w:val="20"/>
      </w:rPr>
      <w:t>Pág.</w:t>
    </w:r>
    <w:sdt>
      <w:sdtPr>
        <w:rPr>
          <w:sz w:val="20"/>
          <w:szCs w:val="20"/>
        </w:rPr>
        <w:id w:val="1520734750"/>
        <w:docPartObj>
          <w:docPartGallery w:val="Page Numbers (Bottom of Page)"/>
          <w:docPartUnique/>
        </w:docPartObj>
      </w:sdtPr>
      <w:sdtEndPr/>
      <w:sdtContent>
        <w:r w:rsidRPr="00C463E9">
          <w:rPr>
            <w:sz w:val="20"/>
            <w:szCs w:val="20"/>
          </w:rPr>
          <w:fldChar w:fldCharType="begin"/>
        </w:r>
        <w:r w:rsidRPr="00C463E9">
          <w:rPr>
            <w:sz w:val="20"/>
            <w:szCs w:val="20"/>
          </w:rPr>
          <w:instrText>PAGE   \* MERGEFORMAT</w:instrText>
        </w:r>
        <w:r w:rsidRPr="00C463E9">
          <w:rPr>
            <w:sz w:val="20"/>
            <w:szCs w:val="20"/>
          </w:rPr>
          <w:fldChar w:fldCharType="separate"/>
        </w:r>
        <w:r w:rsidRPr="00C463E9">
          <w:rPr>
            <w:sz w:val="20"/>
            <w:szCs w:val="20"/>
          </w:rPr>
          <w:t>2</w:t>
        </w:r>
        <w:r w:rsidRPr="00C463E9">
          <w:rPr>
            <w:sz w:val="20"/>
            <w:szCs w:val="20"/>
          </w:rPr>
          <w:fldChar w:fldCharType="end"/>
        </w:r>
      </w:sdtContent>
    </w:sdt>
  </w:p>
  <w:p w14:paraId="40ED7C4E" w14:textId="77777777" w:rsidR="00C463E9" w:rsidRDefault="00C463E9">
    <w:pPr>
      <w:pStyle w:val="Piedepgina"/>
    </w:pPr>
  </w:p>
  <w:p w14:paraId="34B6F2ED" w14:textId="77777777" w:rsidR="00AD5453" w:rsidRDefault="00AD54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F2D0C" w14:textId="77777777" w:rsidR="00FE47B4" w:rsidRDefault="00FE47B4" w:rsidP="00C463E9">
      <w:pPr>
        <w:spacing w:after="0" w:line="240" w:lineRule="auto"/>
      </w:pPr>
      <w:r>
        <w:separator/>
      </w:r>
    </w:p>
  </w:footnote>
  <w:footnote w:type="continuationSeparator" w:id="0">
    <w:p w14:paraId="07F396CE" w14:textId="77777777" w:rsidR="00FE47B4" w:rsidRDefault="00FE47B4" w:rsidP="00C46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75B2" w14:textId="77777777" w:rsidR="00C463E9" w:rsidRDefault="00C463E9" w:rsidP="00C463E9">
    <w:pPr>
      <w:spacing w:after="156" w:line="259" w:lineRule="auto"/>
      <w:ind w:right="0"/>
      <w:jc w:val="left"/>
    </w:pPr>
    <w:r>
      <w:rPr>
        <w:noProof/>
      </w:rPr>
      <w:drawing>
        <wp:anchor distT="0" distB="0" distL="114300" distR="114300" simplePos="0" relativeHeight="251659264" behindDoc="0" locked="0" layoutInCell="1" allowOverlap="0" wp14:anchorId="25AD572E" wp14:editId="05F6598E">
          <wp:simplePos x="0" y="0"/>
          <wp:positionH relativeFrom="column">
            <wp:posOffset>-728395</wp:posOffset>
          </wp:positionH>
          <wp:positionV relativeFrom="paragraph">
            <wp:posOffset>-129241</wp:posOffset>
          </wp:positionV>
          <wp:extent cx="770890" cy="737870"/>
          <wp:effectExtent l="0" t="0" r="0" b="0"/>
          <wp:wrapSquare wrapText="bothSides"/>
          <wp:docPr id="6"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770890" cy="737870"/>
                  </a:xfrm>
                  <a:prstGeom prst="rect">
                    <a:avLst/>
                  </a:prstGeom>
                </pic:spPr>
              </pic:pic>
            </a:graphicData>
          </a:graphic>
        </wp:anchor>
      </w:drawing>
    </w:r>
    <w:r>
      <w:rPr>
        <w:b/>
      </w:rPr>
      <w:t xml:space="preserve">INSTITUTO COSTARRICENSE DE ACUEDUCTOS Y ALCANTARILLADOS </w:t>
    </w:r>
  </w:p>
  <w:p w14:paraId="0DB72C72" w14:textId="77777777" w:rsidR="00C463E9" w:rsidRDefault="00C463E9" w:rsidP="00C463E9">
    <w:pPr>
      <w:spacing w:after="107" w:line="259" w:lineRule="auto"/>
      <w:ind w:left="667" w:right="0"/>
      <w:jc w:val="center"/>
    </w:pPr>
    <w:r>
      <w:rPr>
        <w:b/>
      </w:rPr>
      <w:t xml:space="preserve">San José, Costa Rica </w:t>
    </w:r>
  </w:p>
  <w:p w14:paraId="36EC9A42" w14:textId="12E338A5" w:rsidR="00C463E9" w:rsidRDefault="00C463E9" w:rsidP="002D395D">
    <w:pPr>
      <w:spacing w:after="107" w:line="259" w:lineRule="auto"/>
      <w:ind w:left="-5" w:right="193"/>
      <w:jc w:val="center"/>
    </w:pPr>
    <w:r>
      <w:rPr>
        <w:b/>
      </w:rPr>
      <w:t>Apartado 1097-1200         Teléfono 2242-5050</w:t>
    </w:r>
    <w:r>
      <w:rPr>
        <w:rFonts w:ascii="Calibri" w:eastAsia="Calibri" w:hAnsi="Calibri" w:cs="Calibri"/>
        <w:sz w:val="22"/>
      </w:rPr>
      <w:t xml:space="preserve"> </w:t>
    </w:r>
  </w:p>
  <w:p w14:paraId="6D5C2749" w14:textId="77777777" w:rsidR="00AD5453" w:rsidRDefault="00AD54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E522B"/>
    <w:multiLevelType w:val="hybridMultilevel"/>
    <w:tmpl w:val="F6E8B0A6"/>
    <w:lvl w:ilvl="0" w:tplc="140A0005">
      <w:start w:val="1"/>
      <w:numFmt w:val="bullet"/>
      <w:lvlText w:val=""/>
      <w:lvlJc w:val="left"/>
      <w:pPr>
        <w:ind w:left="862" w:hanging="360"/>
      </w:pPr>
      <w:rPr>
        <w:rFonts w:ascii="Wingdings" w:hAnsi="Wingdings" w:hint="default"/>
      </w:rPr>
    </w:lvl>
    <w:lvl w:ilvl="1" w:tplc="140A0003" w:tentative="1">
      <w:start w:val="1"/>
      <w:numFmt w:val="bullet"/>
      <w:lvlText w:val="o"/>
      <w:lvlJc w:val="left"/>
      <w:pPr>
        <w:ind w:left="1582" w:hanging="360"/>
      </w:pPr>
      <w:rPr>
        <w:rFonts w:ascii="Courier New" w:hAnsi="Courier New" w:cs="Courier New" w:hint="default"/>
      </w:rPr>
    </w:lvl>
    <w:lvl w:ilvl="2" w:tplc="140A0005" w:tentative="1">
      <w:start w:val="1"/>
      <w:numFmt w:val="bullet"/>
      <w:lvlText w:val=""/>
      <w:lvlJc w:val="left"/>
      <w:pPr>
        <w:ind w:left="2302" w:hanging="360"/>
      </w:pPr>
      <w:rPr>
        <w:rFonts w:ascii="Wingdings" w:hAnsi="Wingdings" w:hint="default"/>
      </w:rPr>
    </w:lvl>
    <w:lvl w:ilvl="3" w:tplc="140A0001" w:tentative="1">
      <w:start w:val="1"/>
      <w:numFmt w:val="bullet"/>
      <w:lvlText w:val=""/>
      <w:lvlJc w:val="left"/>
      <w:pPr>
        <w:ind w:left="3022" w:hanging="360"/>
      </w:pPr>
      <w:rPr>
        <w:rFonts w:ascii="Symbol" w:hAnsi="Symbol" w:hint="default"/>
      </w:rPr>
    </w:lvl>
    <w:lvl w:ilvl="4" w:tplc="140A0003" w:tentative="1">
      <w:start w:val="1"/>
      <w:numFmt w:val="bullet"/>
      <w:lvlText w:val="o"/>
      <w:lvlJc w:val="left"/>
      <w:pPr>
        <w:ind w:left="3742" w:hanging="360"/>
      </w:pPr>
      <w:rPr>
        <w:rFonts w:ascii="Courier New" w:hAnsi="Courier New" w:cs="Courier New" w:hint="default"/>
      </w:rPr>
    </w:lvl>
    <w:lvl w:ilvl="5" w:tplc="140A0005" w:tentative="1">
      <w:start w:val="1"/>
      <w:numFmt w:val="bullet"/>
      <w:lvlText w:val=""/>
      <w:lvlJc w:val="left"/>
      <w:pPr>
        <w:ind w:left="4462" w:hanging="360"/>
      </w:pPr>
      <w:rPr>
        <w:rFonts w:ascii="Wingdings" w:hAnsi="Wingdings" w:hint="default"/>
      </w:rPr>
    </w:lvl>
    <w:lvl w:ilvl="6" w:tplc="140A0001" w:tentative="1">
      <w:start w:val="1"/>
      <w:numFmt w:val="bullet"/>
      <w:lvlText w:val=""/>
      <w:lvlJc w:val="left"/>
      <w:pPr>
        <w:ind w:left="5182" w:hanging="360"/>
      </w:pPr>
      <w:rPr>
        <w:rFonts w:ascii="Symbol" w:hAnsi="Symbol" w:hint="default"/>
      </w:rPr>
    </w:lvl>
    <w:lvl w:ilvl="7" w:tplc="140A0003" w:tentative="1">
      <w:start w:val="1"/>
      <w:numFmt w:val="bullet"/>
      <w:lvlText w:val="o"/>
      <w:lvlJc w:val="left"/>
      <w:pPr>
        <w:ind w:left="5902" w:hanging="360"/>
      </w:pPr>
      <w:rPr>
        <w:rFonts w:ascii="Courier New" w:hAnsi="Courier New" w:cs="Courier New" w:hint="default"/>
      </w:rPr>
    </w:lvl>
    <w:lvl w:ilvl="8" w:tplc="140A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887"/>
    <w:rsid w:val="00074A2F"/>
    <w:rsid w:val="000C5ED6"/>
    <w:rsid w:val="000D0B36"/>
    <w:rsid w:val="000D2120"/>
    <w:rsid w:val="00143690"/>
    <w:rsid w:val="00185835"/>
    <w:rsid w:val="00245ED9"/>
    <w:rsid w:val="00257076"/>
    <w:rsid w:val="0027197D"/>
    <w:rsid w:val="00291929"/>
    <w:rsid w:val="00294C9A"/>
    <w:rsid w:val="0029508D"/>
    <w:rsid w:val="002A7A02"/>
    <w:rsid w:val="002B2CA9"/>
    <w:rsid w:val="002C09FD"/>
    <w:rsid w:val="002D395D"/>
    <w:rsid w:val="00307955"/>
    <w:rsid w:val="00413168"/>
    <w:rsid w:val="005134A8"/>
    <w:rsid w:val="005210CA"/>
    <w:rsid w:val="0054553A"/>
    <w:rsid w:val="00574CA4"/>
    <w:rsid w:val="005A46FE"/>
    <w:rsid w:val="005C73DC"/>
    <w:rsid w:val="00636BD7"/>
    <w:rsid w:val="00694072"/>
    <w:rsid w:val="00696896"/>
    <w:rsid w:val="006D4BC4"/>
    <w:rsid w:val="0071192F"/>
    <w:rsid w:val="0075619E"/>
    <w:rsid w:val="00772C33"/>
    <w:rsid w:val="0077422D"/>
    <w:rsid w:val="00797D3F"/>
    <w:rsid w:val="0083229D"/>
    <w:rsid w:val="00856073"/>
    <w:rsid w:val="00873EC5"/>
    <w:rsid w:val="00881CB6"/>
    <w:rsid w:val="008A5C1B"/>
    <w:rsid w:val="008B0F64"/>
    <w:rsid w:val="008B3A47"/>
    <w:rsid w:val="008C6887"/>
    <w:rsid w:val="008D7E70"/>
    <w:rsid w:val="00981971"/>
    <w:rsid w:val="009B1D14"/>
    <w:rsid w:val="00A81BE1"/>
    <w:rsid w:val="00AC3BAD"/>
    <w:rsid w:val="00AC6EEA"/>
    <w:rsid w:val="00AD5453"/>
    <w:rsid w:val="00B42074"/>
    <w:rsid w:val="00B95B7A"/>
    <w:rsid w:val="00BA76C3"/>
    <w:rsid w:val="00C34B6C"/>
    <w:rsid w:val="00C36527"/>
    <w:rsid w:val="00C463E9"/>
    <w:rsid w:val="00CD05A1"/>
    <w:rsid w:val="00CE3114"/>
    <w:rsid w:val="00D4162E"/>
    <w:rsid w:val="00D84E3D"/>
    <w:rsid w:val="00DB16F3"/>
    <w:rsid w:val="00DD1607"/>
    <w:rsid w:val="00E512CB"/>
    <w:rsid w:val="00E57E85"/>
    <w:rsid w:val="00E66440"/>
    <w:rsid w:val="00E725CC"/>
    <w:rsid w:val="00E91A39"/>
    <w:rsid w:val="00F14F15"/>
    <w:rsid w:val="00F717CE"/>
    <w:rsid w:val="00F74AE1"/>
    <w:rsid w:val="00F75E79"/>
    <w:rsid w:val="00FA1808"/>
    <w:rsid w:val="00FA3ACA"/>
    <w:rsid w:val="00FE47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0F594"/>
  <w15:docId w15:val="{5C78E4EF-8EDB-4A40-95CC-9A5400CB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0" w:line="250" w:lineRule="auto"/>
      <w:ind w:left="10" w:right="56" w:hanging="10"/>
      <w:jc w:val="both"/>
    </w:pPr>
    <w:rPr>
      <w:rFonts w:ascii="Arial" w:eastAsia="Arial" w:hAnsi="Arial" w:cs="Arial"/>
      <w:color w:val="000000"/>
      <w:sz w:val="24"/>
    </w:rPr>
  </w:style>
  <w:style w:type="paragraph" w:styleId="Ttulo4">
    <w:name w:val="heading 4"/>
    <w:basedOn w:val="Normal"/>
    <w:next w:val="Normal"/>
    <w:link w:val="Ttulo4Car"/>
    <w:uiPriority w:val="9"/>
    <w:semiHidden/>
    <w:unhideWhenUsed/>
    <w:qFormat/>
    <w:rsid w:val="002D39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2detindependiente4">
    <w:name w:val="Sangría 2 de t. independiente4"/>
    <w:basedOn w:val="Normal"/>
    <w:rsid w:val="00C463E9"/>
    <w:pPr>
      <w:suppressAutoHyphens/>
      <w:spacing w:after="0" w:line="240" w:lineRule="auto"/>
      <w:ind w:left="720" w:right="0" w:firstLine="0"/>
      <w:textAlignment w:val="baseline"/>
    </w:pPr>
    <w:rPr>
      <w:rFonts w:ascii="Courier New" w:eastAsia="Times New Roman" w:hAnsi="Courier New" w:cs="Courier New"/>
      <w:color w:val="auto"/>
      <w:kern w:val="1"/>
      <w:sz w:val="20"/>
      <w:szCs w:val="20"/>
      <w:lang w:val="es-CR" w:eastAsia="ar-SA"/>
    </w:rPr>
  </w:style>
  <w:style w:type="paragraph" w:styleId="Encabezado">
    <w:name w:val="header"/>
    <w:basedOn w:val="Normal"/>
    <w:link w:val="EncabezadoCar"/>
    <w:uiPriority w:val="99"/>
    <w:unhideWhenUsed/>
    <w:rsid w:val="00C463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463E9"/>
    <w:rPr>
      <w:rFonts w:ascii="Arial" w:eastAsia="Arial" w:hAnsi="Arial" w:cs="Arial"/>
      <w:color w:val="000000"/>
      <w:sz w:val="24"/>
    </w:rPr>
  </w:style>
  <w:style w:type="paragraph" w:styleId="Piedepgina">
    <w:name w:val="footer"/>
    <w:basedOn w:val="Normal"/>
    <w:link w:val="PiedepginaCar"/>
    <w:uiPriority w:val="99"/>
    <w:unhideWhenUsed/>
    <w:rsid w:val="00C463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463E9"/>
    <w:rPr>
      <w:rFonts w:ascii="Arial" w:eastAsia="Arial" w:hAnsi="Arial" w:cs="Arial"/>
      <w:color w:val="000000"/>
      <w:sz w:val="24"/>
    </w:rPr>
  </w:style>
  <w:style w:type="paragraph" w:customStyle="1" w:styleId="Prrafodelista1">
    <w:name w:val="Párrafo de lista1"/>
    <w:basedOn w:val="Normal"/>
    <w:link w:val="Prrafodelista1Car"/>
    <w:rsid w:val="00E57E85"/>
    <w:pPr>
      <w:suppressAutoHyphens/>
      <w:spacing w:after="200" w:line="276" w:lineRule="auto"/>
      <w:ind w:left="720" w:right="0" w:firstLine="0"/>
      <w:jc w:val="left"/>
    </w:pPr>
    <w:rPr>
      <w:rFonts w:ascii="Calibri" w:eastAsia="SimSun" w:hAnsi="Calibri" w:cs="font501"/>
      <w:color w:val="auto"/>
      <w:kern w:val="1"/>
      <w:sz w:val="22"/>
      <w:lang w:val="es-CR" w:eastAsia="ar-SA"/>
    </w:rPr>
  </w:style>
  <w:style w:type="character" w:customStyle="1" w:styleId="Prrafodelista1Car">
    <w:name w:val="Párrafo de lista1 Car"/>
    <w:link w:val="Prrafodelista1"/>
    <w:rsid w:val="00E57E85"/>
    <w:rPr>
      <w:rFonts w:ascii="Calibri" w:eastAsia="SimSun" w:hAnsi="Calibri" w:cs="font501"/>
      <w:kern w:val="1"/>
      <w:lang w:val="es-CR" w:eastAsia="ar-SA"/>
    </w:rPr>
  </w:style>
  <w:style w:type="paragraph" w:customStyle="1" w:styleId="Default">
    <w:name w:val="Default"/>
    <w:rsid w:val="000D2120"/>
    <w:pPr>
      <w:autoSpaceDE w:val="0"/>
      <w:autoSpaceDN w:val="0"/>
      <w:adjustRightInd w:val="0"/>
      <w:spacing w:after="0" w:line="240" w:lineRule="auto"/>
    </w:pPr>
    <w:rPr>
      <w:rFonts w:ascii="Arial" w:hAnsi="Arial" w:cs="Arial"/>
      <w:color w:val="000000"/>
      <w:sz w:val="24"/>
      <w:szCs w:val="24"/>
      <w:lang w:val="es-CR"/>
    </w:rPr>
  </w:style>
  <w:style w:type="character" w:customStyle="1" w:styleId="Ttulo4Car">
    <w:name w:val="Título 4 Car"/>
    <w:basedOn w:val="Fuentedeprrafopredeter"/>
    <w:link w:val="Ttulo4"/>
    <w:uiPriority w:val="9"/>
    <w:semiHidden/>
    <w:rsid w:val="002D395D"/>
    <w:rPr>
      <w:rFonts w:asciiTheme="majorHAnsi" w:eastAsiaTheme="majorEastAsia" w:hAnsiTheme="majorHAnsi" w:cstheme="majorBidi"/>
      <w:i/>
      <w:iCs/>
      <w:color w:val="2F5496" w:themeColor="accent1" w:themeShade="BF"/>
      <w:sz w:val="24"/>
    </w:rPr>
  </w:style>
  <w:style w:type="paragraph" w:customStyle="1" w:styleId="Standard">
    <w:name w:val="Standard"/>
    <w:link w:val="StandardCar"/>
    <w:rsid w:val="002D395D"/>
    <w:pPr>
      <w:suppressAutoHyphens/>
      <w:spacing w:after="0" w:line="240" w:lineRule="auto"/>
      <w:textAlignment w:val="baseline"/>
    </w:pPr>
    <w:rPr>
      <w:rFonts w:ascii="Times New Roman" w:eastAsia="Times New Roman" w:hAnsi="Times New Roman" w:cs="Times New Roman"/>
      <w:kern w:val="1"/>
      <w:sz w:val="20"/>
      <w:szCs w:val="20"/>
      <w:lang w:val="es-CR" w:eastAsia="ar-SA"/>
    </w:rPr>
  </w:style>
  <w:style w:type="character" w:customStyle="1" w:styleId="StandardCar">
    <w:name w:val="Standard Car"/>
    <w:link w:val="Standard"/>
    <w:rsid w:val="002D395D"/>
    <w:rPr>
      <w:rFonts w:ascii="Times New Roman" w:eastAsia="Times New Roman" w:hAnsi="Times New Roman" w:cs="Times New Roman"/>
      <w:kern w:val="1"/>
      <w:sz w:val="20"/>
      <w:szCs w:val="20"/>
      <w:lang w:val="es-CR" w:eastAsia="ar-SA"/>
    </w:rPr>
  </w:style>
  <w:style w:type="paragraph" w:styleId="Textodeglobo">
    <w:name w:val="Balloon Text"/>
    <w:basedOn w:val="Normal"/>
    <w:link w:val="TextodegloboCar"/>
    <w:uiPriority w:val="99"/>
    <w:semiHidden/>
    <w:unhideWhenUsed/>
    <w:rsid w:val="00D4162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162E"/>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764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C990C1D30CE74CA14F0093F217C883" ma:contentTypeVersion="4" ma:contentTypeDescription="Crear nuevo documento." ma:contentTypeScope="" ma:versionID="20482a1485cb2fe4bb34a0d248da881d">
  <xsd:schema xmlns:xsd="http://www.w3.org/2001/XMLSchema" xmlns:xs="http://www.w3.org/2001/XMLSchema" xmlns:p="http://schemas.microsoft.com/office/2006/metadata/properties" xmlns:ns2="e04dec64-bdf1-458a-aaca-59c15e0c9642" targetNamespace="http://schemas.microsoft.com/office/2006/metadata/properties" ma:root="true" ma:fieldsID="307c28fc869c5a7c38b81ee0dd7ee306" ns2:_="">
    <xsd:import namespace="e04dec64-bdf1-458a-aaca-59c15e0c9642"/>
    <xsd:element name="properties">
      <xsd:complexType>
        <xsd:sequence>
          <xsd:element name="documentManagement">
            <xsd:complexType>
              <xsd:all>
                <xsd:element ref="ns2:Asunto"/>
                <xsd:element ref="ns2:Dirigido"/>
                <xsd:element ref="ns2:Anno" minOccurs="0"/>
                <xsd:element ref="ns2:Fech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dec64-bdf1-458a-aaca-59c15e0c9642" elementFormDefault="qualified">
    <xsd:import namespace="http://schemas.microsoft.com/office/2006/documentManagement/types"/>
    <xsd:import namespace="http://schemas.microsoft.com/office/infopath/2007/PartnerControls"/>
    <xsd:element name="Asunto" ma:index="2" ma:displayName="Asunto" ma:internalName="Asunto">
      <xsd:simpleType>
        <xsd:restriction base="dms:Note">
          <xsd:maxLength value="255"/>
        </xsd:restriction>
      </xsd:simpleType>
    </xsd:element>
    <xsd:element name="Dirigido" ma:index="3" ma:displayName="Dirigido a" ma:internalName="Dirigido">
      <xsd:simpleType>
        <xsd:restriction base="dms:Text">
          <xsd:maxLength value="255"/>
        </xsd:restriction>
      </xsd:simpleType>
    </xsd:element>
    <xsd:element name="Anno" ma:index="4" nillable="true" ma:displayName="Año" ma:format="Dropdown" ma:internalName="Anno">
      <xsd:simpleType>
        <xsd:restriction base="dms:Choice">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Fecha" ma:index="5" nillable="true" ma:displayName="Fecha" ma:format="DateOnly" ma:internalName="Fech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e contenido"/>
        <xsd:element ref="dc:title" minOccurs="0" maxOccurs="1" ma:index="1" ma:displayName="Númer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igido xmlns="e04dec64-bdf1-458a-aaca-59c15e0c9642">Gerencia General</Dirigido>
    <Anno xmlns="e04dec64-bdf1-458a-aaca-59c15e0c9642">2019</Anno>
    <Fecha xmlns="e04dec64-bdf1-458a-aaca-59c15e0c9642">2019-11-12T06:00:00+00:00</Fecha>
    <Asunto xmlns="e04dec64-bdf1-458a-aaca-59c15e0c9642">INFORME DE CONTROL INTERNO
“Auditoría del Proceso en la adquisición de hidrómetros a nivel institucional”.</Asunto>
  </documentManagement>
</p:properties>
</file>

<file path=customXml/itemProps1.xml><?xml version="1.0" encoding="utf-8"?>
<ds:datastoreItem xmlns:ds="http://schemas.openxmlformats.org/officeDocument/2006/customXml" ds:itemID="{9D03DE8E-8B1E-4570-B891-6C03297330F1}"/>
</file>

<file path=customXml/itemProps2.xml><?xml version="1.0" encoding="utf-8"?>
<ds:datastoreItem xmlns:ds="http://schemas.openxmlformats.org/officeDocument/2006/customXml" ds:itemID="{449F12B7-FCBA-4D34-956A-5061AD6DC13D}"/>
</file>

<file path=customXml/itemProps3.xml><?xml version="1.0" encoding="utf-8"?>
<ds:datastoreItem xmlns:ds="http://schemas.openxmlformats.org/officeDocument/2006/customXml" ds:itemID="{F6D4B8A7-1F70-47AB-8C49-945E822B348B}"/>
</file>

<file path=docProps/app.xml><?xml version="1.0" encoding="utf-8"?>
<Properties xmlns="http://schemas.openxmlformats.org/officeDocument/2006/extended-properties" xmlns:vt="http://schemas.openxmlformats.org/officeDocument/2006/docPropsVTypes">
  <Template>Normal</Template>
  <TotalTime>81</TotalTime>
  <Pages>2</Pages>
  <Words>797</Words>
  <Characters>4388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AU-2019-00601</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AU-2019-00639</dc:title>
  <dc:subject/>
  <dc:creator>Nancy Gonzalez Carrillo</dc:creator>
  <cp:keywords/>
  <cp:lastModifiedBy>Cecilia Vega Rivera</cp:lastModifiedBy>
  <cp:revision>12</cp:revision>
  <cp:lastPrinted>2019-02-22T21:55:00Z</cp:lastPrinted>
  <dcterms:created xsi:type="dcterms:W3CDTF">2019-11-28T15:12:00Z</dcterms:created>
  <dcterms:modified xsi:type="dcterms:W3CDTF">2019-12-09T20:09:00Z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0x010100B9C990C1D30CE74CA14F0093F217C883</vt:lpwstr>
  </property>
</Properties>
</file>